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Body A"/>
      </w:pPr>
    </w:p>
    <w:p>
      <w:pPr>
        <w:pStyle w:val="Body A"/>
      </w:pPr>
      <w:r>
        <w:rPr>
          <w:rFonts w:cs="Arial Unicode MS" w:eastAsia="Arial Unicode MS"/>
          <w:b w:val="1"/>
          <w:bCs w:val="1"/>
          <w:rtl w:val="0"/>
          <w:lang w:val="en-US"/>
        </w:rPr>
        <w:t xml:space="preserve">Notes for the Teacher: </w:t>
      </w:r>
    </w:p>
    <w:p>
      <w:pPr>
        <w:pStyle w:val="Body A"/>
      </w:pPr>
    </w:p>
    <w:p>
      <w:pPr>
        <w:pStyle w:val="Body A"/>
      </w:pPr>
      <w:r>
        <w:rPr>
          <w:rFonts w:cs="Arial Unicode MS" w:eastAsia="Arial Unicode MS" w:hint="default"/>
          <w:rtl w:val="0"/>
          <w:lang w:val="en-US"/>
        </w:rPr>
        <w:t>“</w:t>
      </w:r>
      <w:r>
        <w:rPr>
          <w:rFonts w:cs="Arial Unicode MS" w:eastAsia="Arial Unicode MS"/>
          <w:rtl w:val="0"/>
          <w:lang w:val="en-US"/>
        </w:rPr>
        <w:t>The Elevator</w:t>
      </w:r>
      <w:r>
        <w:rPr>
          <w:rFonts w:cs="Arial Unicode MS" w:eastAsia="Arial Unicode MS" w:hint="default"/>
          <w:rtl w:val="0"/>
          <w:lang w:val="en-US"/>
        </w:rPr>
        <w:t xml:space="preserve">” </w:t>
      </w:r>
      <w:r>
        <w:rPr>
          <w:rFonts w:cs="Arial Unicode MS" w:eastAsia="Arial Unicode MS"/>
          <w:rtl w:val="0"/>
          <w:lang w:val="en-US"/>
        </w:rPr>
        <w:t>is a well-known story with a classic cliffhanger ending (the story stops right at the turning point / climax). Even if students have read it before, the follow-up writing activity allows them to practice using details of the setting and characters to write a logical ending in the first-person point-of-view. Plus, it</w:t>
      </w:r>
      <w:r>
        <w:rPr>
          <w:rFonts w:cs="Arial Unicode MS" w:eastAsia="Arial Unicode MS" w:hint="default"/>
          <w:rtl w:val="0"/>
          <w:lang w:val="en-US"/>
        </w:rPr>
        <w:t>’</w:t>
      </w:r>
      <w:r>
        <w:rPr>
          <w:rFonts w:cs="Arial Unicode MS" w:eastAsia="Arial Unicode MS"/>
          <w:rtl w:val="0"/>
          <w:lang w:val="en-US"/>
        </w:rPr>
        <w:t xml:space="preserve">s a great way to review the elements of plot since they will soon be writing their own narrative story with a </w:t>
      </w:r>
      <w:r>
        <w:rPr>
          <w:rFonts w:cs="Arial Unicode MS" w:eastAsia="Arial Unicode MS" w:hint="default"/>
          <w:rtl w:val="0"/>
          <w:lang w:val="en-US"/>
        </w:rPr>
        <w:t>“</w:t>
      </w:r>
      <w:r>
        <w:rPr>
          <w:rFonts w:cs="Arial Unicode MS" w:eastAsia="Arial Unicode MS"/>
          <w:rtl w:val="0"/>
          <w:lang w:val="en-US"/>
        </w:rPr>
        <w:t>plot development</w:t>
      </w:r>
      <w:r>
        <w:rPr>
          <w:rFonts w:cs="Arial Unicode MS" w:eastAsia="Arial Unicode MS" w:hint="default"/>
          <w:rtl w:val="0"/>
          <w:lang w:val="en-US"/>
        </w:rPr>
        <w:t xml:space="preserve">” </w:t>
      </w:r>
      <w:r>
        <w:rPr>
          <w:rFonts w:cs="Arial Unicode MS" w:eastAsia="Arial Unicode MS"/>
          <w:rtl w:val="0"/>
          <w:lang w:val="en-US"/>
        </w:rPr>
        <w:t xml:space="preserve">focus.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Fonts w:cs="Arial Unicode MS" w:eastAsia="Arial Unicode MS"/>
          <w:rtl w:val="0"/>
          <w:lang w:val="en-US"/>
        </w:rPr>
        <w:t xml:space="preserve">The story can be found </w:t>
      </w:r>
      <w:r>
        <w:rPr>
          <w:rFonts w:cs="Arial Unicode MS" w:eastAsia="Arial Unicode MS"/>
          <w:rtl w:val="0"/>
          <w:lang w:val="en-US"/>
        </w:rPr>
        <w:t xml:space="preserve">in several places online, ready to go! Options are: </w:t>
      </w:r>
    </w:p>
    <w:p>
      <w:pPr>
        <w:pStyle w:val="Body A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"https://www.humbleisd.net/cms/lib2/TX01001414/Centricity/Domain/2669/The_Elevator.pdf"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  <w:lang w:val="en-US"/>
        </w:rPr>
        <w:t>https://www.humbleisd.net/cms/lib2/TX01001414/Centricity/Domain/2669/The_Elevator.pdf</w:t>
      </w:r>
      <w:r>
        <w:rPr/>
        <w:fldChar w:fldCharType="end" w:fldLock="0"/>
      </w:r>
    </w:p>
    <w:p>
      <w:pPr>
        <w:pStyle w:val="Body A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"http://www.scaryforkids.com/elevator/"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  <w:lang w:val="en-US"/>
        </w:rPr>
        <w:t>http://www.scaryforkids.com/elevator/</w:t>
      </w:r>
      <w:r>
        <w:rPr/>
        <w:fldChar w:fldCharType="end" w:fldLock="0"/>
      </w:r>
    </w:p>
    <w:p>
      <w:pPr>
        <w:pStyle w:val="Body A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"https://1.cdn.edl.io/UY8FQ1yC2jZmnVV4C4alS1Ej15PgljjpptPlsx1hePViPlsh.pdf"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https://1.cdn.edl.io/UY8FQ1yC2jZmnVV4C4alS1Ej15PgljjpptPlsx1hePViPlsh.pdf</w:t>
      </w:r>
      <w:r>
        <w:rPr/>
        <w:fldChar w:fldCharType="end" w:fldLock="0"/>
      </w:r>
    </w:p>
    <w:p>
      <w:pPr>
        <w:pStyle w:val="Body A"/>
      </w:pPr>
    </w:p>
    <w:p>
      <w:pPr>
        <w:pStyle w:val="Body A"/>
      </w:pPr>
      <w:r>
        <w:rPr>
          <w:rFonts w:cs="Arial Unicode MS" w:eastAsia="Arial Unicode MS"/>
          <w:rtl w:val="0"/>
          <w:lang w:val="en-US"/>
        </w:rPr>
        <w:t xml:space="preserve">Or, here is a really well-done read-aloud of the story with text and music and </w:t>
      </w:r>
      <w:r>
        <w:rPr>
          <w:rFonts w:cs="Arial Unicode MS" w:eastAsia="Arial Unicode MS" w:hint="default"/>
          <w:rtl w:val="0"/>
          <w:lang w:val="en-US"/>
        </w:rPr>
        <w:t>“</w:t>
      </w:r>
      <w:r>
        <w:rPr>
          <w:rFonts w:cs="Arial Unicode MS" w:eastAsia="Arial Unicode MS"/>
          <w:rtl w:val="0"/>
          <w:lang w:val="en-US"/>
        </w:rPr>
        <w:t>tone</w:t>
      </w:r>
      <w:r>
        <w:rPr>
          <w:rFonts w:cs="Arial Unicode MS" w:eastAsia="Arial Unicode MS" w:hint="default"/>
          <w:rtl w:val="0"/>
          <w:lang w:val="en-US"/>
        </w:rPr>
        <w:t xml:space="preserve">” </w:t>
      </w:r>
      <w:r>
        <w:rPr>
          <w:rFonts w:cs="Arial Unicode MS" w:eastAsia="Arial Unicode MS"/>
          <w:rtl w:val="0"/>
          <w:lang w:val="en-US"/>
        </w:rPr>
        <w:t>that you can show as another way for students to follow along. (Approx. 15 min.)</w:t>
      </w:r>
    </w:p>
    <w:p>
      <w:pPr>
        <w:pStyle w:val="Body A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"https://vimeo.com/84006862"</w:instrText>
      </w:r>
      <w:r>
        <w:rPr>
          <w:rStyle w:val="Hyperlink.1"/>
        </w:rPr>
        <w:fldChar w:fldCharType="separate" w:fldLock="0"/>
      </w:r>
      <w:r>
        <w:rPr>
          <w:rStyle w:val="Hyperlink.1"/>
          <w:rFonts w:cs="Arial Unicode MS" w:eastAsia="Arial Unicode MS"/>
          <w:rtl w:val="0"/>
          <w:lang w:val="en-US"/>
        </w:rPr>
        <w:t>https://vimeo.com/84006862</w:t>
      </w:r>
      <w:r>
        <w:rPr/>
        <w:fldChar w:fldCharType="end" w:fldLock="0"/>
      </w:r>
    </w:p>
    <w:p>
      <w:pPr>
        <w:pStyle w:val="Body A"/>
      </w:pPr>
    </w:p>
    <w:p>
      <w:pPr>
        <w:pStyle w:val="Body A"/>
      </w:pPr>
      <w:r>
        <w:rPr>
          <w:rStyle w:val="None"/>
          <w:i w:val="1"/>
          <w:iCs w:val="1"/>
          <w:u w:val="single"/>
        </w:rPr>
        <w:br w:type="textWrapping"/>
      </w:r>
      <w:r>
        <w:rPr>
          <w:rStyle w:val="None"/>
          <w:rFonts w:cs="Arial Unicode MS" w:eastAsia="Arial Unicode MS"/>
          <w:i w:val="1"/>
          <w:iCs w:val="1"/>
          <w:u w:val="none"/>
          <w:rtl w:val="0"/>
          <w:lang w:val="en-US"/>
        </w:rPr>
        <w:t xml:space="preserve">One idea is to have students simply listen/follow along with the Vimeo version, and then hand out a class set of the copies of the story. The copies have built-in questions related to plot development that students could discuss and / or respond to on their own papers. This strategy forces students to </w:t>
      </w:r>
      <w:r>
        <w:rPr>
          <w:rStyle w:val="None"/>
          <w:rFonts w:cs="Arial Unicode MS" w:eastAsia="Arial Unicode MS" w:hint="default"/>
          <w:i w:val="1"/>
          <w:iCs w:val="1"/>
          <w:u w:val="none"/>
          <w:rtl w:val="0"/>
          <w:lang w:val="en-US"/>
        </w:rPr>
        <w:t>“</w:t>
      </w:r>
      <w:r>
        <w:rPr>
          <w:rStyle w:val="None"/>
          <w:rFonts w:cs="Arial Unicode MS" w:eastAsia="Arial Unicode MS"/>
          <w:i w:val="1"/>
          <w:iCs w:val="1"/>
          <w:u w:val="none"/>
          <w:rtl w:val="0"/>
          <w:lang w:val="en-US"/>
        </w:rPr>
        <w:t>go back into the text</w:t>
      </w:r>
      <w:r>
        <w:rPr>
          <w:rStyle w:val="None"/>
          <w:rFonts w:cs="Arial Unicode MS" w:eastAsia="Arial Unicode MS" w:hint="default"/>
          <w:i w:val="1"/>
          <w:iCs w:val="1"/>
          <w:u w:val="none"/>
          <w:rtl w:val="0"/>
          <w:lang w:val="en-US"/>
        </w:rPr>
        <w:t xml:space="preserve">” </w:t>
      </w:r>
      <w:r>
        <w:rPr>
          <w:rStyle w:val="None"/>
          <w:rFonts w:cs="Arial Unicode MS" w:eastAsia="Arial Unicode MS"/>
          <w:i w:val="1"/>
          <w:iCs w:val="1"/>
          <w:u w:val="none"/>
          <w:rtl w:val="0"/>
          <w:lang w:val="en-US"/>
        </w:rPr>
        <w:t xml:space="preserve">for further analysis.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Style w:val="None"/>
          <w:rFonts w:cs="Arial Unicode MS" w:eastAsia="Arial Unicode MS"/>
          <w:b w:val="1"/>
          <w:bCs w:val="1"/>
          <w:u w:val="none"/>
          <w:rtl w:val="0"/>
          <w:lang w:val="en-US"/>
        </w:rPr>
        <w:t xml:space="preserve">Next: </w:t>
      </w:r>
    </w:p>
    <w:p>
      <w:pPr>
        <w:pStyle w:val="Body A"/>
      </w:pPr>
    </w:p>
    <w:p>
      <w:pPr>
        <w:pStyle w:val="Body A"/>
      </w:pPr>
      <w:r>
        <w:rPr>
          <w:rStyle w:val="None"/>
          <w:rFonts w:cs="Arial Unicode MS" w:eastAsia="Arial Unicode MS"/>
          <w:u w:val="none"/>
          <w:rtl w:val="0"/>
          <w:lang w:val="en-US"/>
        </w:rPr>
        <w:t>Students complete a writing activity. Many teachers have their students re-write the ending of the story, but let</w:t>
      </w:r>
      <w:r>
        <w:rPr>
          <w:rStyle w:val="None"/>
          <w:rFonts w:cs="Arial Unicode MS" w:eastAsia="Arial Unicode MS" w:hint="default"/>
          <w:u w:val="none"/>
          <w:rtl w:val="0"/>
          <w:lang w:val="en-US"/>
        </w:rPr>
        <w:t>’</w:t>
      </w:r>
      <w:r>
        <w:rPr>
          <w:rStyle w:val="None"/>
          <w:rFonts w:cs="Arial Unicode MS" w:eastAsia="Arial Unicode MS"/>
          <w:u w:val="none"/>
          <w:rtl w:val="0"/>
          <w:lang w:val="en-US"/>
        </w:rPr>
        <w:t xml:space="preserve">s take it a step further to stay in line with the narrative writing unit. </w:t>
      </w:r>
    </w:p>
    <w:p>
      <w:pPr>
        <w:pStyle w:val="Body A"/>
      </w:pPr>
    </w:p>
    <w:p>
      <w:pPr>
        <w:pStyle w:val="Body A"/>
      </w:pPr>
    </w:p>
    <w:p>
      <w:pPr>
        <w:pStyle w:val="Body A"/>
      </w:pPr>
      <w:r>
        <w:rPr>
          <w:rStyle w:val="None"/>
          <w:rFonts w:cs="Arial Unicode MS" w:eastAsia="Arial Unicode MS"/>
          <w:b w:val="1"/>
          <w:bCs w:val="1"/>
          <w:u w:val="none"/>
          <w:rtl w:val="0"/>
          <w:lang w:val="en-US"/>
        </w:rPr>
        <w:t xml:space="preserve">The assignment: </w:t>
      </w:r>
    </w:p>
    <w:p>
      <w:pPr>
        <w:pStyle w:val="Body A"/>
      </w:pPr>
    </w:p>
    <w:p>
      <w:pPr>
        <w:pStyle w:val="Body A"/>
      </w:pPr>
      <w:r>
        <w:rPr>
          <w:rStyle w:val="None"/>
          <w:rFonts w:cs="Arial Unicode MS" w:eastAsia="Arial Unicode MS"/>
          <w:u w:val="none"/>
          <w:rtl w:val="0"/>
          <w:lang w:val="en-US"/>
        </w:rPr>
        <w:t>Students will write an ending to the story. Here is a list of requirements for students to follow:</w:t>
      </w:r>
    </w:p>
    <w:p>
      <w:pPr>
        <w:pStyle w:val="Body A"/>
      </w:pP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u w:val="none"/>
          <w:rtl w:val="0"/>
          <w:lang w:val="en-US"/>
        </w:rPr>
        <w:t>You must choose a character in the story - any character - and write the ending from that character</w:t>
      </w:r>
      <w:r>
        <w:rPr>
          <w:rStyle w:val="None"/>
          <w:u w:val="none"/>
          <w:rtl w:val="0"/>
          <w:lang w:val="en-US"/>
        </w:rPr>
        <w:t>’</w:t>
      </w:r>
      <w:r>
        <w:rPr>
          <w:rStyle w:val="None"/>
          <w:u w:val="none"/>
          <w:rtl w:val="0"/>
          <w:lang w:val="en-US"/>
        </w:rPr>
        <w:t>s point-of-view (so we</w:t>
      </w:r>
      <w:r>
        <w:rPr>
          <w:rStyle w:val="None"/>
          <w:u w:val="none"/>
          <w:rtl w:val="0"/>
          <w:lang w:val="en-US"/>
        </w:rPr>
        <w:t>’</w:t>
      </w:r>
      <w:r>
        <w:rPr>
          <w:rStyle w:val="None"/>
          <w:u w:val="none"/>
          <w:rtl w:val="0"/>
          <w:lang w:val="en-US"/>
        </w:rPr>
        <w:t>re switching from 3rd person to 1st person, making it like a narrative)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u w:val="none"/>
          <w:rtl w:val="0"/>
          <w:lang w:val="en-US"/>
        </w:rPr>
        <w:t>The ending must be appropriate for a nine year-old (nothing gory or graphic or bloody). This means you</w:t>
      </w:r>
      <w:r>
        <w:rPr>
          <w:rStyle w:val="None"/>
          <w:u w:val="none"/>
          <w:rtl w:val="0"/>
          <w:lang w:val="en-US"/>
        </w:rPr>
        <w:t>’</w:t>
      </w:r>
      <w:r>
        <w:rPr>
          <w:rStyle w:val="None"/>
          <w:u w:val="none"/>
          <w:rtl w:val="0"/>
          <w:lang w:val="en-US"/>
        </w:rPr>
        <w:t>ll actually have to be more creative than going with the obvious ending!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u w:val="none"/>
          <w:rtl w:val="0"/>
          <w:lang w:val="en-US"/>
        </w:rPr>
        <w:t>Since the story ends at the climax/turning point of the plot, you must include a falling action and a resolution that makes sense.</w:t>
      </w:r>
      <w:r>
        <w:rPr>
          <w:rStyle w:val="None"/>
          <w:u w:val="none"/>
          <w:rtl w:val="0"/>
        </w:rPr>
        <w:t xml:space="preserve"> 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u w:val="none"/>
          <w:rtl w:val="0"/>
          <w:lang w:val="en-US"/>
        </w:rPr>
        <w:t xml:space="preserve">You may not end with </w:t>
      </w:r>
      <w:r>
        <w:rPr>
          <w:rStyle w:val="None"/>
          <w:u w:val="none"/>
          <w:rtl w:val="0"/>
          <w:lang w:val="en-US"/>
        </w:rPr>
        <w:t>“</w:t>
      </w:r>
      <w:r>
        <w:rPr>
          <w:rStyle w:val="None"/>
          <w:u w:val="none"/>
          <w:rtl w:val="0"/>
          <w:lang w:val="en-US"/>
        </w:rPr>
        <w:t>Then I woke up</w:t>
      </w:r>
      <w:r>
        <w:rPr>
          <w:rStyle w:val="None"/>
          <w:u w:val="none"/>
          <w:rtl w:val="0"/>
          <w:lang w:val="en-US"/>
        </w:rPr>
        <w:t xml:space="preserve">” </w:t>
      </w:r>
      <w:r>
        <w:rPr>
          <w:rStyle w:val="None"/>
          <w:u w:val="none"/>
          <w:rtl w:val="0"/>
          <w:lang w:val="en-US"/>
        </w:rPr>
        <w:t xml:space="preserve">or </w:t>
      </w:r>
      <w:r>
        <w:rPr>
          <w:rStyle w:val="None"/>
          <w:u w:val="none"/>
          <w:rtl w:val="0"/>
          <w:lang w:val="en-US"/>
        </w:rPr>
        <w:t>“</w:t>
      </w:r>
      <w:r>
        <w:rPr>
          <w:rStyle w:val="None"/>
          <w:u w:val="none"/>
          <w:rtl w:val="0"/>
          <w:lang w:val="en-US"/>
        </w:rPr>
        <w:t>The aliens took her away</w:t>
      </w:r>
      <w:r>
        <w:rPr>
          <w:rStyle w:val="None"/>
          <w:u w:val="none"/>
          <w:rtl w:val="0"/>
          <w:lang w:val="en-US"/>
        </w:rPr>
        <w:t xml:space="preserve">” </w:t>
      </w:r>
      <w:r>
        <w:rPr>
          <w:rStyle w:val="None"/>
          <w:u w:val="none"/>
          <w:rtl w:val="0"/>
          <w:lang w:val="en-US"/>
        </w:rPr>
        <w:t xml:space="preserve">or </w:t>
      </w:r>
      <w:r>
        <w:rPr>
          <w:rStyle w:val="None"/>
          <w:u w:val="none"/>
          <w:rtl w:val="0"/>
          <w:lang w:val="en-US"/>
        </w:rPr>
        <w:t>“</w:t>
      </w:r>
      <w:r>
        <w:rPr>
          <w:rStyle w:val="None"/>
          <w:u w:val="none"/>
          <w:rtl w:val="0"/>
          <w:lang w:val="en-US"/>
        </w:rPr>
        <w:t>Luckily this story was  all in my head and never happened</w:t>
      </w:r>
      <w:r>
        <w:rPr>
          <w:rStyle w:val="None"/>
          <w:u w:val="none"/>
          <w:rtl w:val="0"/>
          <w:lang w:val="en-US"/>
        </w:rPr>
        <w:t xml:space="preserve">” </w:t>
      </w:r>
      <w:r>
        <w:rPr>
          <w:rStyle w:val="None"/>
          <w:u w:val="none"/>
          <w:rtl w:val="0"/>
          <w:lang w:val="en-US"/>
        </w:rPr>
        <w:t xml:space="preserve">or anything similar to those things. </w:t>
      </w:r>
    </w:p>
    <w:p>
      <w:pPr>
        <w:pStyle w:val="Body A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Style w:val="None"/>
          <w:u w:val="none"/>
          <w:rtl w:val="0"/>
          <w:lang w:val="en-US"/>
        </w:rPr>
        <w:t>Students will include 2 - 3 pieces of dialogue, correctly spaced and punctuated (they can use their bell ringers to help them if they need to)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680"/>
        <w:tab w:val="right" w:pos="9340"/>
        <w:tab w:val="clear" w:pos="9020"/>
      </w:tabs>
    </w:pPr>
    <w:r>
      <w:rPr>
        <w:sz w:val="16"/>
        <w:szCs w:val="16"/>
        <w:rtl w:val="0"/>
        <w:lang w:val="en-US"/>
      </w:rPr>
      <w:t>7.2.3t</w:t>
      <w:tab/>
      <w:tab/>
      <w:t xml:space="preserve">Narrative / Fiction 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*"/>
      <w:lvlJc w:val="left"/>
      <w:pPr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u w:val="single"/>
      <w:lang w:val="en-US"/>
    </w:rPr>
  </w:style>
  <w:style w:type="numbering" w:styleId="Bullet">
    <w:name w:val="Bullet"/>
    <w:pPr>
      <w:numPr>
        <w:numId w:val="1"/>
      </w:numPr>
    </w:pPr>
  </w:style>
  <w:style w:type="character" w:styleId="Hyperlink.0.0">
    <w:name w:val="Hyperlink.0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