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rFonts w:ascii="Bradley Hand ITC TT-Bold" w:cs="Bradley Hand ITC TT-Bold" w:hAnsi="Bradley Hand ITC TT-Bold" w:eastAsia="Bradley Hand ITC TT-Bold"/>
          <w:sz w:val="28"/>
          <w:szCs w:val="28"/>
        </w:rPr>
      </w:pPr>
      <w:r>
        <w:rPr>
          <w:rFonts w:ascii="Bradley Hand ITC TT-Bold"/>
          <w:sz w:val="56"/>
          <w:szCs w:val="56"/>
          <w:rtl w:val="0"/>
          <w:lang w:val="en-US"/>
        </w:rPr>
        <w:t>Instructions for the Teacher</w:t>
      </w:r>
    </w:p>
    <w:p>
      <w:pPr>
        <w:pStyle w:val="Body"/>
        <w:jc w:val="left"/>
        <w:rPr>
          <w:rFonts w:ascii="Bradley Hand ITC TT-Bold" w:cs="Bradley Hand ITC TT-Bold" w:hAnsi="Bradley Hand ITC TT-Bold" w:eastAsia="Bradley Hand ITC TT-Bold"/>
          <w:sz w:val="28"/>
          <w:szCs w:val="28"/>
        </w:rPr>
      </w:pPr>
    </w:p>
    <w:p>
      <w:pPr>
        <w:pStyle w:val="Body"/>
        <w:jc w:val="left"/>
        <w:rPr>
          <w:rFonts w:ascii="Arial" w:cs="Arial" w:hAnsi="Arial" w:eastAsia="Arial"/>
          <w:sz w:val="28"/>
          <w:szCs w:val="28"/>
        </w:rPr>
      </w:pPr>
      <w:r>
        <w:rPr>
          <w:rFonts w:ascii="Arial"/>
          <w:sz w:val="28"/>
          <w:szCs w:val="28"/>
          <w:rtl w:val="0"/>
          <w:lang w:val="en-US"/>
        </w:rPr>
        <w:t>Each student will receive one copy of the handout below.</w:t>
      </w:r>
    </w:p>
    <w:p>
      <w:pPr>
        <w:pStyle w:val="Body"/>
        <w:jc w:val="left"/>
        <w:rPr>
          <w:rFonts w:ascii="Arial" w:cs="Arial" w:hAnsi="Arial" w:eastAsia="Arial"/>
          <w:sz w:val="28"/>
          <w:szCs w:val="28"/>
        </w:rPr>
      </w:pPr>
    </w:p>
    <w:p>
      <w:pPr>
        <w:pStyle w:val="Body"/>
        <w:jc w:val="left"/>
        <w:rPr>
          <w:rFonts w:ascii="Arial" w:cs="Arial" w:hAnsi="Arial" w:eastAsia="Arial"/>
          <w:sz w:val="28"/>
          <w:szCs w:val="28"/>
        </w:rPr>
      </w:pPr>
      <w:r>
        <w:rPr>
          <w:rFonts w:ascii="Arial"/>
          <w:sz w:val="28"/>
          <w:szCs w:val="28"/>
          <w:rtl w:val="0"/>
          <w:lang w:val="en-US"/>
        </w:rPr>
        <w:t>Students will think of a very specific setting (but they can</w:t>
      </w:r>
      <w:r>
        <w:rPr>
          <w:rFonts w:hAnsi="Arial" w:hint="default"/>
          <w:sz w:val="28"/>
          <w:szCs w:val="28"/>
          <w:rtl w:val="0"/>
          <w:lang w:val="en-US"/>
        </w:rPr>
        <w:t>’</w:t>
      </w:r>
      <w:r>
        <w:rPr>
          <w:rFonts w:ascii="Arial"/>
          <w:sz w:val="28"/>
          <w:szCs w:val="28"/>
          <w:rtl w:val="0"/>
          <w:lang w:val="en-US"/>
        </w:rPr>
        <w:t>t tell anyone</w:t>
      </w:r>
      <w:r>
        <w:rPr>
          <w:rFonts w:hAnsi="Arial" w:hint="default"/>
          <w:sz w:val="28"/>
          <w:szCs w:val="28"/>
          <w:rtl w:val="0"/>
          <w:lang w:val="en-US"/>
        </w:rPr>
        <w:t xml:space="preserve">— </w:t>
      </w:r>
      <w:r>
        <w:rPr>
          <w:rFonts w:ascii="Arial"/>
          <w:sz w:val="28"/>
          <w:szCs w:val="28"/>
          <w:rtl w:val="0"/>
          <w:lang w:val="en-US"/>
        </w:rPr>
        <w:t>it</w:t>
      </w:r>
      <w:r>
        <w:rPr>
          <w:rFonts w:hAnsi="Arial" w:hint="default"/>
          <w:sz w:val="28"/>
          <w:szCs w:val="28"/>
          <w:rtl w:val="0"/>
          <w:lang w:val="en-US"/>
        </w:rPr>
        <w:t>’</w:t>
      </w:r>
      <w:r>
        <w:rPr>
          <w:rFonts w:ascii="Arial"/>
          <w:sz w:val="28"/>
          <w:szCs w:val="28"/>
          <w:rtl w:val="0"/>
          <w:lang w:val="en-US"/>
        </w:rPr>
        <w:t>s a secret!)</w:t>
      </w:r>
    </w:p>
    <w:p>
      <w:pPr>
        <w:pStyle w:val="Body"/>
        <w:jc w:val="left"/>
        <w:rPr>
          <w:rFonts w:ascii="Arial" w:cs="Arial" w:hAnsi="Arial" w:eastAsia="Arial"/>
          <w:sz w:val="28"/>
          <w:szCs w:val="28"/>
        </w:rPr>
      </w:pPr>
    </w:p>
    <w:p>
      <w:pPr>
        <w:pStyle w:val="Body"/>
        <w:jc w:val="left"/>
        <w:rPr>
          <w:rFonts w:ascii="Arial" w:cs="Arial" w:hAnsi="Arial" w:eastAsia="Arial"/>
          <w:sz w:val="28"/>
          <w:szCs w:val="28"/>
        </w:rPr>
      </w:pPr>
      <w:r>
        <w:rPr>
          <w:rFonts w:ascii="Arial"/>
          <w:sz w:val="28"/>
          <w:szCs w:val="28"/>
          <w:rtl w:val="0"/>
          <w:lang w:val="en-US"/>
        </w:rPr>
        <w:t xml:space="preserve">Students will independently fill out the graphic organizer about their setting. </w:t>
      </w:r>
    </w:p>
    <w:p>
      <w:pPr>
        <w:pStyle w:val="Body"/>
        <w:jc w:val="left"/>
        <w:rPr>
          <w:rFonts w:ascii="Arial" w:cs="Arial" w:hAnsi="Arial" w:eastAsia="Arial"/>
          <w:sz w:val="28"/>
          <w:szCs w:val="28"/>
        </w:rPr>
      </w:pPr>
    </w:p>
    <w:p>
      <w:pPr>
        <w:pStyle w:val="Body"/>
        <w:jc w:val="left"/>
        <w:rPr>
          <w:rFonts w:ascii="Arial" w:cs="Arial" w:hAnsi="Arial" w:eastAsia="Arial"/>
          <w:sz w:val="26"/>
          <w:szCs w:val="26"/>
        </w:rPr>
      </w:pPr>
      <w:r>
        <w:rPr>
          <w:rFonts w:ascii="Arial"/>
          <w:sz w:val="28"/>
          <w:szCs w:val="28"/>
          <w:rtl w:val="0"/>
          <w:lang w:val="en-US"/>
        </w:rPr>
        <w:t xml:space="preserve">Students will come together in small groups and trade papers, using the details to infer the setting. </w:t>
      </w:r>
    </w:p>
    <w:p>
      <w:pPr>
        <w:pStyle w:val="Body"/>
        <w:jc w:val="center"/>
        <w:rPr>
          <w:rFonts w:ascii="Bradley Hand ITC TT-Bold" w:cs="Bradley Hand ITC TT-Bold" w:hAnsi="Bradley Hand ITC TT-Bold" w:eastAsia="Bradley Hand ITC TT-Bold"/>
          <w:sz w:val="56"/>
          <w:szCs w:val="56"/>
        </w:rPr>
      </w:pPr>
    </w:p>
    <w:p>
      <w:pPr>
        <w:pStyle w:val="Body"/>
        <w:jc w:val="center"/>
        <w:rPr>
          <w:rFonts w:ascii="Bradley Hand ITC TT-Bold" w:cs="Bradley Hand ITC TT-Bold" w:hAnsi="Bradley Hand ITC TT-Bold" w:eastAsia="Bradley Hand ITC TT-Bold"/>
          <w:sz w:val="56"/>
          <w:szCs w:val="56"/>
        </w:rPr>
      </w:pPr>
    </w:p>
    <w:p>
      <w:pPr>
        <w:pStyle w:val="Body"/>
        <w:jc w:val="center"/>
        <w:rPr>
          <w:rFonts w:ascii="Bradley Hand ITC TT-Bold" w:cs="Bradley Hand ITC TT-Bold" w:hAnsi="Bradley Hand ITC TT-Bold" w:eastAsia="Bradley Hand ITC TT-Bold"/>
          <w:sz w:val="56"/>
          <w:szCs w:val="56"/>
        </w:rPr>
      </w:pPr>
    </w:p>
    <w:p>
      <w:pPr>
        <w:pStyle w:val="Body"/>
        <w:jc w:val="center"/>
        <w:rPr>
          <w:rFonts w:ascii="Bradley Hand ITC TT-Bold" w:cs="Bradley Hand ITC TT-Bold" w:hAnsi="Bradley Hand ITC TT-Bold" w:eastAsia="Bradley Hand ITC TT-Bold"/>
          <w:sz w:val="56"/>
          <w:szCs w:val="56"/>
        </w:rPr>
      </w:pPr>
    </w:p>
    <w:p>
      <w:pPr>
        <w:pStyle w:val="Body"/>
        <w:jc w:val="center"/>
        <w:rPr>
          <w:rFonts w:ascii="Bradley Hand ITC TT-Bold" w:cs="Bradley Hand ITC TT-Bold" w:hAnsi="Bradley Hand ITC TT-Bold" w:eastAsia="Bradley Hand ITC TT-Bold"/>
          <w:sz w:val="56"/>
          <w:szCs w:val="56"/>
        </w:rPr>
      </w:pPr>
    </w:p>
    <w:p>
      <w:pPr>
        <w:pStyle w:val="Body"/>
        <w:jc w:val="center"/>
        <w:rPr>
          <w:rFonts w:ascii="Bradley Hand ITC TT-Bold" w:cs="Bradley Hand ITC TT-Bold" w:hAnsi="Bradley Hand ITC TT-Bold" w:eastAsia="Bradley Hand ITC TT-Bold"/>
          <w:sz w:val="56"/>
          <w:szCs w:val="56"/>
        </w:rPr>
      </w:pPr>
    </w:p>
    <w:p>
      <w:pPr>
        <w:pStyle w:val="Body"/>
        <w:jc w:val="center"/>
        <w:rPr>
          <w:rFonts w:ascii="Bradley Hand ITC TT-Bold" w:cs="Bradley Hand ITC TT-Bold" w:hAnsi="Bradley Hand ITC TT-Bold" w:eastAsia="Bradley Hand ITC TT-Bold"/>
          <w:sz w:val="56"/>
          <w:szCs w:val="56"/>
        </w:rPr>
      </w:pPr>
    </w:p>
    <w:p>
      <w:pPr>
        <w:pStyle w:val="Body"/>
        <w:jc w:val="center"/>
        <w:rPr>
          <w:rFonts w:ascii="Bradley Hand ITC TT-Bold" w:cs="Bradley Hand ITC TT-Bold" w:hAnsi="Bradley Hand ITC TT-Bold" w:eastAsia="Bradley Hand ITC TT-Bold"/>
          <w:sz w:val="56"/>
          <w:szCs w:val="56"/>
        </w:rPr>
      </w:pPr>
    </w:p>
    <w:p>
      <w:pPr>
        <w:pStyle w:val="Body"/>
        <w:jc w:val="center"/>
        <w:rPr>
          <w:rFonts w:ascii="Bradley Hand ITC TT-Bold" w:cs="Bradley Hand ITC TT-Bold" w:hAnsi="Bradley Hand ITC TT-Bold" w:eastAsia="Bradley Hand ITC TT-Bold"/>
          <w:sz w:val="56"/>
          <w:szCs w:val="56"/>
        </w:rPr>
      </w:pPr>
      <w:r>
        <w:rPr>
          <w:rFonts w:ascii="Bradley Hand ITC TT-Bold"/>
          <w:sz w:val="56"/>
          <w:szCs w:val="56"/>
          <w:rtl w:val="0"/>
          <w:lang w:val="en-US"/>
        </w:rPr>
        <w:t>Can You Guess My Setting?</w:t>
      </w:r>
    </w:p>
    <w:p>
      <w:pPr>
        <w:pStyle w:val="Body"/>
        <w:jc w:val="center"/>
        <w:rPr>
          <w:rFonts w:ascii="Bradley Hand ITC TT-Bold" w:cs="Bradley Hand ITC TT-Bold" w:hAnsi="Bradley Hand ITC TT-Bold" w:eastAsia="Bradley Hand ITC TT-Bold"/>
          <w:sz w:val="56"/>
          <w:szCs w:val="56"/>
        </w:rPr>
      </w:pPr>
    </w:p>
    <w:p>
      <w:pPr>
        <w:pStyle w:val="Body"/>
        <w:jc w:val="left"/>
        <w:rPr>
          <w:rFonts w:ascii="Bradley Hand ITC TT-Bold" w:cs="Bradley Hand ITC TT-Bold" w:hAnsi="Bradley Hand ITC TT-Bold" w:eastAsia="Bradley Hand ITC TT-Bold"/>
          <w:sz w:val="28"/>
          <w:szCs w:val="28"/>
        </w:rPr>
      </w:pPr>
    </w:p>
    <w:tbl>
      <w:tblPr>
        <w:tblW w:w="12955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ffffff"/>
        <w:tblLayout w:type="fixed"/>
      </w:tblPr>
      <w:tblGrid>
        <w:gridCol w:w="3238"/>
        <w:gridCol w:w="3239"/>
        <w:gridCol w:w="3239"/>
        <w:gridCol w:w="3239"/>
      </w:tblGrid>
      <w:tr>
        <w:tblPrEx>
          <w:shd w:val="clear" w:color="auto" w:fill="ffffff"/>
        </w:tblPrEx>
        <w:trPr>
          <w:trHeight w:val="740" w:hRule="atLeast"/>
        </w:trPr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/>
                <w:rtl w:val="0"/>
              </w:rPr>
              <w:t xml:space="preserve">Make a list of four items </w:t>
            </w:r>
          </w:p>
          <w:p>
            <w:pPr>
              <w:pStyle w:val="Table Style 2"/>
              <w:jc w:val="center"/>
            </w:pPr>
            <w:r>
              <w:rPr>
                <w:rFonts w:ascii="Helvetica"/>
                <w:rtl w:val="0"/>
              </w:rPr>
              <w:t>found in your setting.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/>
                <w:rtl w:val="0"/>
              </w:rPr>
              <w:t>Make a list of four clues about the time of day or time of year.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/>
                <w:rtl w:val="0"/>
              </w:rPr>
              <w:t>Make a list of four clues about what century this setting could be in (past, present, future?)</w:t>
            </w: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jc w:val="center"/>
            </w:pPr>
            <w:r>
              <w:rPr>
                <w:rFonts w:ascii="Helvetica"/>
                <w:rtl w:val="0"/>
              </w:rPr>
              <w:t xml:space="preserve">Make a list of four more items of your choice that might provide clues about your setting. </w:t>
            </w:r>
          </w:p>
        </w:tc>
      </w:tr>
      <w:tr>
        <w:tblPrEx>
          <w:shd w:val="clear" w:color="auto" w:fill="ffffff"/>
        </w:tblPrEx>
        <w:trPr>
          <w:trHeight w:val="1453" w:hRule="atLeast"/>
        </w:trPr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38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ffffff"/>
        </w:tblPrEx>
        <w:trPr>
          <w:trHeight w:val="1445" w:hRule="atLeast"/>
        </w:trPr>
        <w:tc>
          <w:tcPr>
            <w:tcW w:type="dxa" w:w="323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</w:tc>
        <w:tc>
          <w:tcPr>
            <w:tcW w:type="dxa" w:w="323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3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3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ffffff"/>
        </w:tblPrEx>
        <w:trPr>
          <w:trHeight w:val="1445" w:hRule="atLeast"/>
        </w:trPr>
        <w:tc>
          <w:tcPr>
            <w:tcW w:type="dxa" w:w="323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</w:tc>
        <w:tc>
          <w:tcPr>
            <w:tcW w:type="dxa" w:w="323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3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3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2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ffffff"/>
        </w:tblPrEx>
        <w:trPr>
          <w:trHeight w:val="1453" w:hRule="atLeast"/>
        </w:trPr>
        <w:tc>
          <w:tcPr>
            <w:tcW w:type="dxa" w:w="323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</w:tc>
        <w:tc>
          <w:tcPr>
            <w:tcW w:type="dxa" w:w="323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  <w:p>
            <w:pPr>
              <w:pStyle w:val="Table Style 2"/>
              <w:bidi w:val="0"/>
            </w:pPr>
          </w:p>
        </w:tc>
        <w:tc>
          <w:tcPr>
            <w:tcW w:type="dxa" w:w="323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38"/>
            <w:tcBorders>
              <w:top w:val="single" w:color="000000" w:sz="2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jc w:val="left"/>
      </w:pPr>
    </w:p>
    <w:sectPr>
      <w:headerReference w:type="default" r:id="rId4"/>
      <w:footerReference w:type="default" r:id="rId5"/>
      <w:pgSz w:w="15840" w:h="12240" w:orient="landscape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Bradley Hand ITC TT-Bold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6480"/>
        <w:tab w:val="right" w:pos="12960"/>
        <w:tab w:val="clear" w:pos="9020"/>
      </w:tabs>
      <w:jc w:val="left"/>
    </w:pPr>
    <w:r>
      <w:rPr>
        <w:rFonts w:hAnsi="Helvetica" w:hint="default"/>
        <w:sz w:val="16"/>
        <w:szCs w:val="16"/>
        <w:rtl w:val="0"/>
        <w:lang w:val="en-US"/>
      </w:rPr>
      <w:t xml:space="preserve">© </w:t>
    </w:r>
    <w:r>
      <w:rPr>
        <w:sz w:val="16"/>
        <w:szCs w:val="16"/>
        <w:rtl w:val="0"/>
        <w:lang w:val="en-US"/>
      </w:rPr>
      <w:t xml:space="preserve">2016 </w:t>
    </w:r>
    <w:hyperlink r:id="rId1" w:history="1">
      <w:r>
        <w:rPr>
          <w:rStyle w:val="Hyperlink.0"/>
          <w:sz w:val="16"/>
          <w:szCs w:val="16"/>
          <w:u w:val="none"/>
          <w:rtl w:val="0"/>
          <w:lang w:val="en-US"/>
        </w:rPr>
        <w:t>languageartsteachers.com</w:t>
      </w:r>
    </w:hyperlink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6480"/>
        <w:tab w:val="right" w:pos="12960"/>
        <w:tab w:val="clear" w:pos="9020"/>
      </w:tabs>
      <w:jc w:val="left"/>
    </w:pPr>
    <w:r>
      <w:rPr>
        <w:sz w:val="16"/>
        <w:szCs w:val="16"/>
        <w:rtl w:val="0"/>
        <w:lang w:val="en-US"/>
      </w:rPr>
      <w:t>Fiction / Short Story Graphic Organizer</w:t>
    </w:r>
    <w:r>
      <w:rPr>
        <w:sz w:val="16"/>
        <w:szCs w:val="16"/>
      </w:rPr>
      <w:tab/>
      <w:tab/>
    </w:r>
    <w:r>
      <w:rPr>
        <w:sz w:val="16"/>
        <w:szCs w:val="16"/>
        <w:rtl w:val="0"/>
        <w:lang w:val="en-US"/>
      </w:rPr>
      <w:t>Group Work for Setting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character" w:styleId="Link">
    <w:name w:val="Link"/>
    <w:rPr>
      <w:u w:val="single"/>
    </w:rPr>
  </w:style>
  <w:style w:type="character" w:styleId="Hyperlink.0">
    <w:name w:val="Hyperlink.0"/>
    <w:basedOn w:val="Link"/>
    <w:next w:val="Hyperlink.0"/>
    <w:rPr>
      <w:u w:val="no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://languageartsteachers.com" TargetMode="Externa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Landscape">
  <a:themeElements>
    <a:clrScheme name="BlankLandscape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Landscap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